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A8" w:rsidRPr="007A5A19" w:rsidRDefault="00F02FA8" w:rsidP="00F0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02FA8" w:rsidRPr="007A5A19" w:rsidRDefault="00F02FA8" w:rsidP="00F0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:rsidR="00F02FA8" w:rsidRPr="007A5A19" w:rsidRDefault="00F02FA8" w:rsidP="00F0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:rsidR="00F02FA8" w:rsidRPr="007A5A19" w:rsidRDefault="00F02FA8" w:rsidP="00F0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(МБОУ Уютненская СОШ)</w:t>
      </w:r>
    </w:p>
    <w:p w:rsidR="0055391E" w:rsidRPr="007A5A19" w:rsidRDefault="0055391E" w:rsidP="00F0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FA8" w:rsidRPr="007A5A19" w:rsidRDefault="00F02FA8" w:rsidP="00F0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862"/>
        <w:gridCol w:w="3651"/>
      </w:tblGrid>
      <w:tr w:rsidR="00F02FA8" w:rsidRPr="007A5A19" w:rsidTr="0055391E">
        <w:tc>
          <w:tcPr>
            <w:tcW w:w="3403" w:type="dxa"/>
          </w:tcPr>
          <w:p w:rsidR="00F02FA8" w:rsidRPr="007A5A19" w:rsidRDefault="00F02FA8" w:rsidP="0055391E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РАССМОТРЕНО</w:t>
            </w:r>
          </w:p>
          <w:p w:rsidR="00F02FA8" w:rsidRPr="007A5A19" w:rsidRDefault="00F02FA8" w:rsidP="006F4DE8">
            <w:pPr>
              <w:pStyle w:val="ab"/>
              <w:jc w:val="left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Протокол заседания методического совета МБОУ Уютненской СОШ</w:t>
            </w:r>
          </w:p>
          <w:p w:rsidR="00F02FA8" w:rsidRPr="007A5A19" w:rsidRDefault="00F02FA8" w:rsidP="0055391E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Куликова А. В. ___________</w:t>
            </w:r>
          </w:p>
          <w:p w:rsidR="00F02FA8" w:rsidRPr="007A5A19" w:rsidRDefault="00F02FA8" w:rsidP="0055391E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 xml:space="preserve">Протокол № </w:t>
            </w:r>
          </w:p>
          <w:p w:rsidR="00F02FA8" w:rsidRPr="007A5A19" w:rsidRDefault="00F02FA8" w:rsidP="0055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862" w:type="dxa"/>
          </w:tcPr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 Куликова А. В.</w:t>
            </w:r>
          </w:p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651" w:type="dxa"/>
          </w:tcPr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02FA8" w:rsidRPr="007A5A19" w:rsidRDefault="00F02FA8" w:rsidP="006F4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Уютненская СОШ </w:t>
            </w:r>
          </w:p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_____________ Шматько О. Ф.</w:t>
            </w:r>
          </w:p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АООП № </w:t>
            </w:r>
          </w:p>
          <w:p w:rsidR="00F02FA8" w:rsidRPr="007A5A19" w:rsidRDefault="00F02FA8" w:rsidP="0055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F02FA8" w:rsidRPr="00912842" w:rsidRDefault="00F02FA8" w:rsidP="005539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FD6A61" w:rsidRDefault="00FD6A61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7A5A19" w:rsidRDefault="007A5A19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Pr="00FD6A61" w:rsidRDefault="00FD6A61" w:rsidP="007A5A19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РАБОЧАЯ ПРОГРАММА </w:t>
      </w:r>
    </w:p>
    <w:p w:rsidR="00FD6A61" w:rsidRPr="00FD6A61" w:rsidRDefault="00FD6A61" w:rsidP="007A5A19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КУРСА ВНЕУРОЧНОЙ ДЕЯТЕЛЬНОСТИ</w:t>
      </w:r>
    </w:p>
    <w:p w:rsidR="00FD6A61" w:rsidRPr="00FD6A61" w:rsidRDefault="00FD6A61" w:rsidP="007A5A19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социальное и духовно-нравственное направление</w:t>
      </w:r>
    </w:p>
    <w:p w:rsidR="00FD6A61" w:rsidRPr="00FD6A61" w:rsidRDefault="00FD6A61" w:rsidP="007A5A19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«БИЛЕТ В БУДУЩЕЕ»</w:t>
      </w:r>
    </w:p>
    <w:p w:rsidR="00FD6A61" w:rsidRPr="00FD6A61" w:rsidRDefault="00FD6A61" w:rsidP="007A5A19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для обучающихся 6 класса</w:t>
      </w: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FD6A61" w:rsidRDefault="00FD6A61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FD6A61" w:rsidRDefault="00FD6A61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7A5A19" w:rsidRDefault="007A5A19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FD6A61" w:rsidRPr="007A5A19" w:rsidRDefault="00FD6A61" w:rsidP="00FD6A61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Составитель: Ерощенко Юлия Руслановна,</w:t>
      </w:r>
    </w:p>
    <w:p w:rsidR="00FD6A61" w:rsidRPr="007A5A19" w:rsidRDefault="00FD6A61" w:rsidP="00FD6A61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учитель русского языка и литературы</w:t>
      </w:r>
    </w:p>
    <w:p w:rsidR="00FD6A61" w:rsidRPr="00FD6A61" w:rsidRDefault="00FD6A61" w:rsidP="00FD6A61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8"/>
          <w:szCs w:val="24"/>
        </w:rPr>
      </w:pPr>
    </w:p>
    <w:p w:rsidR="00810C15" w:rsidRDefault="00810C15" w:rsidP="00FD6A61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7A5A19">
      <w:pPr>
        <w:pStyle w:val="1"/>
        <w:tabs>
          <w:tab w:val="left" w:pos="4774"/>
        </w:tabs>
        <w:spacing w:before="0" w:beforeAutospacing="0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6C4ACB" w:rsidRDefault="006C4ACB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Pr="00FD6A61" w:rsidRDefault="00FD6A61" w:rsidP="006C4ACB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D6A61">
        <w:rPr>
          <w:b w:val="0"/>
          <w:sz w:val="24"/>
          <w:szCs w:val="24"/>
        </w:rPr>
        <w:t>Уютный</w:t>
      </w:r>
    </w:p>
    <w:p w:rsidR="00FD6A61" w:rsidRDefault="00FD6A61" w:rsidP="006C4ACB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b w:val="0"/>
          <w:sz w:val="24"/>
          <w:szCs w:val="24"/>
        </w:rPr>
        <w:sectPr w:rsidR="00FD6A61" w:rsidSect="00810C15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D6A61">
        <w:rPr>
          <w:b w:val="0"/>
          <w:sz w:val="24"/>
          <w:szCs w:val="24"/>
        </w:rPr>
        <w:t>2023 год</w:t>
      </w:r>
    </w:p>
    <w:p w:rsidR="00566047" w:rsidRPr="00FD6A61" w:rsidRDefault="00FD6A61" w:rsidP="006C4A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6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образованияи наукиРоссийскойФедерацииот17декабря2010 года №1897«Обутверждениифедеральногогосударственногообразовательногостандартаосновного общегообразования».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</w:t>
      </w:r>
      <w:r w:rsidR="00931919">
        <w:rPr>
          <w:rFonts w:ascii="Times New Roman" w:hAnsi="Times New Roman" w:cs="Times New Roman"/>
          <w:sz w:val="24"/>
          <w:szCs w:val="24"/>
        </w:rPr>
        <w:t xml:space="preserve">о врача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№189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«Санитарно-эпидемиологические    требования    к    условиям    и    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№81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="0093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12.05.2011г. № 03-296 «Об организации внеурочной деятельности при введении ФГОС общего</w:t>
      </w:r>
      <w:r w:rsidR="007A5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931919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Уютненской СОШ</w:t>
      </w:r>
      <w:r w:rsidR="00810C15">
        <w:rPr>
          <w:rFonts w:ascii="Times New Roman" w:hAnsi="Times New Roman"/>
          <w:kern w:val="2"/>
          <w:sz w:val="24"/>
          <w:szCs w:val="24"/>
        </w:rPr>
        <w:t>;</w:t>
      </w:r>
    </w:p>
    <w:p w:rsidR="00810C15" w:rsidRPr="00FD6A61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 xml:space="preserve">Основная образовательная программа основного общего образования МБОУ </w:t>
      </w:r>
      <w:r w:rsidR="00931919"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СОШ (утверждена приказом директора от</w:t>
      </w:r>
      <w:r w:rsidR="0015285B"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_______________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);</w:t>
      </w:r>
    </w:p>
    <w:p w:rsidR="00810C15" w:rsidRPr="00FD6A61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У</w:t>
      </w:r>
      <w:r w:rsidR="0015285B"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чебный план МБОУ </w:t>
      </w:r>
      <w:r w:rsidR="00931919"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="0015285B" w:rsidRPr="00FD6A61">
        <w:rPr>
          <w:rFonts w:ascii="Times New Roman" w:hAnsi="Times New Roman"/>
          <w:kern w:val="2"/>
          <w:sz w:val="24"/>
          <w:szCs w:val="24"/>
          <w:highlight w:val="yellow"/>
        </w:rPr>
        <w:t>СОШ на 2023/2024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 учебный год;</w:t>
      </w:r>
    </w:p>
    <w:p w:rsidR="00810C15" w:rsidRPr="00FD6A61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Положение о рабочей программе учебных предметов, курсов, дисциплин (модулей) МБОУ </w:t>
      </w:r>
      <w:r w:rsidR="00F91682"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СОШ (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утверждено приказом директора от</w:t>
      </w:r>
      <w:r w:rsidR="0015285B"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 ________________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)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. </w:t>
      </w:r>
    </w:p>
    <w:p w:rsidR="00810C15" w:rsidRPr="00810C15" w:rsidRDefault="00810C15" w:rsidP="0093191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>Согласно учебному плану МБОУ</w:t>
      </w:r>
      <w:r w:rsidR="00F91682">
        <w:rPr>
          <w:rFonts w:ascii="Times New Roman" w:hAnsi="Times New Roman"/>
          <w:kern w:val="2"/>
          <w:sz w:val="24"/>
          <w:szCs w:val="24"/>
        </w:rPr>
        <w:t xml:space="preserve"> Уютненской </w:t>
      </w:r>
      <w:r>
        <w:rPr>
          <w:rFonts w:ascii="Times New Roman" w:hAnsi="Times New Roman"/>
          <w:kern w:val="2"/>
          <w:sz w:val="24"/>
          <w:szCs w:val="24"/>
        </w:rPr>
        <w:t>СОШ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>
        <w:rPr>
          <w:rFonts w:ascii="Times New Roman" w:hAnsi="Times New Roman"/>
          <w:kern w:val="2"/>
          <w:sz w:val="24"/>
          <w:szCs w:val="24"/>
        </w:rPr>
        <w:t>» в 6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P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FD6A61" w:rsidRDefault="00566047" w:rsidP="00FD6A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 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r w:rsidR="007A5A19" w:rsidRPr="00566047">
        <w:rPr>
          <w:rFonts w:ascii="Times New Roman" w:hAnsi="Times New Roman" w:cs="Times New Roman"/>
          <w:sz w:val="24"/>
          <w:szCs w:val="24"/>
        </w:rPr>
        <w:t>следовательно,</w:t>
      </w:r>
      <w:r w:rsidR="00F91682">
        <w:rPr>
          <w:rFonts w:ascii="Times New Roman" w:hAnsi="Times New Roman" w:cs="Times New Roman"/>
          <w:sz w:val="24"/>
          <w:szCs w:val="24"/>
        </w:rPr>
        <w:t xml:space="preserve"> </w:t>
      </w:r>
      <w:r w:rsidRPr="00566047">
        <w:rPr>
          <w:rFonts w:ascii="Times New Roman" w:hAnsi="Times New Roman" w:cs="Times New Roman"/>
          <w:sz w:val="24"/>
          <w:szCs w:val="24"/>
        </w:rPr>
        <w:t>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860A9E" w:rsidRDefault="00790AB0" w:rsidP="00860A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</w:t>
      </w:r>
      <w:r w:rsidR="00860A9E">
        <w:rPr>
          <w:rFonts w:ascii="Times New Roman" w:hAnsi="Times New Roman" w:cs="Times New Roman"/>
          <w:sz w:val="24"/>
          <w:szCs w:val="24"/>
        </w:rPr>
        <w:t>навательные, коммуникативные, ре</w:t>
      </w:r>
      <w:r w:rsidR="00566047" w:rsidRPr="00566047">
        <w:rPr>
          <w:rFonts w:ascii="Times New Roman" w:hAnsi="Times New Roman" w:cs="Times New Roman"/>
          <w:sz w:val="24"/>
          <w:szCs w:val="24"/>
        </w:rPr>
        <w:t>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60A9E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60A9E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осознанного выбора и построение индивидуальной траектории образования и жизненных планов с учетом личных и общественных интересов и </w:t>
      </w:r>
      <w:r w:rsidR="00860A9E"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841A4E" w:rsidRDefault="00841A4E" w:rsidP="00860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F02FA8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F02FA8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F02FA8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F02FA8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F02FA8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860A9E">
        <w:trPr>
          <w:trHeight w:val="65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F02F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860A9E">
        <w:trPr>
          <w:trHeight w:val="292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</w:t>
            </w:r>
            <w:r w:rsidR="0086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акатов «Я в рабочие пойду»,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F02FA8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F02FA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860A9E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профориентационных уроков – стартового и тематического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 класс: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ХОЧУ» — ваши интересы;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«МОГУ» — ваши способности;</w:t>
      </w:r>
    </w:p>
    <w:p w:rsidR="00790AB0" w:rsidRDefault="00790AB0" w:rsidP="00790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«БУДУ» — востребованность обучающегося на рынке труда в будущем.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790AB0" w:rsidRDefault="00790AB0" w:rsidP="00790AB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общем: формирование системного представления о мире профессий и значимости трудовой 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например, как различные качества или навыки могут по-разному реализовываться в разных профессиональных направления.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Помощь в выборе увлечения, в котором обучающийся может реализовать свои интересы, развивать возможности и помогать окружающим.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 дополнительных занятий и увлечений.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/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790AB0" w:rsidRPr="00790AB0" w:rsidRDefault="00790AB0" w:rsidP="00F02FA8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 w:rsidR="00860A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/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/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F02FA8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Версия 6 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>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/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 w:rsidR="0086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860A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r w:rsidR="0086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/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6 класса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ХОЧУ» — ваши интересы;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«МОГУ» — ваши способности;</w:t>
            </w:r>
          </w:p>
          <w:p w:rsidR="00790AB0" w:rsidRPr="00790AB0" w:rsidRDefault="00790AB0" w:rsidP="00790AB0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«БУДУ» — востребованность обучающегося на рынке труда в будущем.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профессиях).Помощь в выборе увлечения, в котором обучающийся может реализовать свои интересы и развивать возможности.Поиск дополнительных занятий и увлечений.</w:t>
            </w:r>
          </w:p>
        </w:tc>
        <w:tc>
          <w:tcPr>
            <w:tcW w:w="5386" w:type="dxa"/>
          </w:tcPr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 каждого блока обучающимся предлагается раздаточный материал (чек-лист) с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рекомендациями (его можно использовать в качестве домашнего задания).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которые ставятся перед обучающимся: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распознать свои интересы?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способности могут пригодиться при освоении профессии, и как их развивать?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личностные качества, и почему они важны для выбора карьерного пути?</w:t>
            </w:r>
          </w:p>
          <w:p w:rsidR="00790AB0" w:rsidRPr="00790AB0" w:rsidRDefault="00790AB0" w:rsidP="00790AB0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в будущем востребованным специалистом?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платформе</w:t>
            </w:r>
            <w:r w:rsidR="0086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/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профессиональных склонностей.</w:t>
            </w:r>
          </w:p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2949BA" w:rsidRDefault="00790AB0" w:rsidP="00F02FA8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2949BA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6 класса</w:t>
            </w:r>
          </w:p>
          <w:p w:rsidR="00790AB0" w:rsidRPr="002949BA" w:rsidRDefault="002949BA" w:rsidP="00F02FA8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6 </w:t>
            </w:r>
            <w:r w:rsidR="00790AB0"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включает только диагностику готовности к профессиональному самоопределению и не включает диагностику ценностных ориентиров.</w:t>
            </w:r>
          </w:p>
          <w:p w:rsidR="00790AB0" w:rsidRPr="002949BA" w:rsidRDefault="00790AB0" w:rsidP="00F02FA8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r w:rsidR="0086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/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r w:rsidR="00F0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/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790AB0" w:rsidRPr="00790AB0" w:rsidRDefault="00790AB0" w:rsidP="00790AB0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труда, с различными отраслями и профессиями, с многообразием вариантов профессионального выбора;</w:t>
            </w:r>
          </w:p>
          <w:p w:rsidR="00790AB0" w:rsidRPr="00790AB0" w:rsidRDefault="00790AB0" w:rsidP="00790AB0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т.п.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790AB0" w:rsidRPr="00790AB0" w:rsidRDefault="00790AB0" w:rsidP="00790AB0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а также перспективным отраслям и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профессиям.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r w:rsidR="00F02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/>
            <w:hyperlink r:id="rId3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790AB0" w:rsidRPr="00790AB0" w:rsidRDefault="00790AB0" w:rsidP="00790AB0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790AB0" w:rsidRPr="00790AB0" w:rsidTr="00F02FA8">
        <w:tc>
          <w:tcPr>
            <w:tcW w:w="459" w:type="dxa"/>
          </w:tcPr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возрастам).Разбор и обсуждение полученного опыта по итогам профессиональных проб и мероприятий.Постановка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790AB0" w:rsidRPr="00790AB0" w:rsidRDefault="00790AB0" w:rsidP="000B1E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90AB0" w:rsidRPr="00790AB0" w:rsidRDefault="00790AB0" w:rsidP="00F02FA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790AB0" w:rsidRPr="00790AB0" w:rsidRDefault="00790AB0" w:rsidP="00790AB0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790AB0" w:rsidRPr="00790AB0" w:rsidRDefault="00790AB0" w:rsidP="00F02F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интернет-платформе: </w:t>
            </w:r>
            <w:hyperlink r:id="rId3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</w:p>
          <w:p w:rsidR="00790AB0" w:rsidRPr="00790AB0" w:rsidRDefault="00790AB0" w:rsidP="00F02FA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F30CCF" w:rsidRDefault="00F30CCF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6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69"/>
        <w:gridCol w:w="4658"/>
        <w:gridCol w:w="1198"/>
        <w:gridCol w:w="1185"/>
        <w:gridCol w:w="1435"/>
      </w:tblGrid>
      <w:tr w:rsidR="00F30CCF" w:rsidRPr="00246C34" w:rsidTr="00246C34">
        <w:trPr>
          <w:trHeight w:val="43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246C34" w:rsidRDefault="00810C15" w:rsidP="00043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246C34" w:rsidRDefault="00810C15" w:rsidP="00043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043DD9" w:rsidRDefault="00810C15" w:rsidP="00043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246C34" w:rsidRDefault="00810C15" w:rsidP="00043D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070B8" w:rsidRPr="00246C34" w:rsidTr="00246C34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246C34" w:rsidRDefault="00810C15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246C34" w:rsidRDefault="00810C15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Pr="00043DD9" w:rsidRDefault="00810C15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246C34" w:rsidRDefault="00810C15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Pr="00246C34" w:rsidRDefault="00810C15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RPr="00246C34" w:rsidTr="00246C34">
        <w:trPr>
          <w:trHeight w:val="9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6C4ACB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6C4ACB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сентября 2023 г</w:t>
            </w:r>
            <w:r w:rsidR="0004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6C4ACB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6C4ACB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6C4ACB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№1 «</w:t>
            </w:r>
            <w:r w:rsidR="00043DD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 профсреды»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6C4ACB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6C4ACB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6C4ACB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сентября 2023 г</w:t>
            </w:r>
            <w:r w:rsidR="0004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5 октября 2023 г</w:t>
            </w:r>
            <w:r w:rsidR="0004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12 октября 2023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26 октября 2023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ноября 2023 г</w:t>
            </w:r>
            <w:r w:rsidR="0004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9 ноября 2023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ноября 2023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23 ноября 2023 г</w:t>
            </w:r>
            <w:r w:rsidR="0004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конструктор, электромонтер и др.)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30 ноября 2023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декабря 2023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 февраля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8 февраля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15 февраля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22 февраля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29 февраля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марта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марта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4 апреля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апреля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F30CCF" w:rsidRPr="00043DD9" w:rsidRDefault="000B1EF6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апреля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32. Профориентационное занятие «Пробую профессию в сфере медицины» (моделирующая онлайн-проба на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проекта «Билет в будущее»)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апреля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мая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RPr="00246C34" w:rsidTr="00246C34">
        <w:trPr>
          <w:jc w:val="center"/>
        </w:trPr>
        <w:tc>
          <w:tcPr>
            <w:tcW w:w="869" w:type="dxa"/>
          </w:tcPr>
          <w:p w:rsidR="00F30CCF" w:rsidRPr="00043DD9" w:rsidRDefault="00F30CCF" w:rsidP="00043DD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46C34" w:rsidRDefault="00246C34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  <w:tc>
          <w:tcPr>
            <w:tcW w:w="1198" w:type="dxa"/>
          </w:tcPr>
          <w:p w:rsidR="00F30CCF" w:rsidRPr="00043DD9" w:rsidRDefault="00F30CCF" w:rsidP="0004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Pr="00246C34" w:rsidRDefault="00246C34" w:rsidP="00043D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мая 2024 г.</w:t>
            </w:r>
          </w:p>
        </w:tc>
        <w:tc>
          <w:tcPr>
            <w:tcW w:w="1435" w:type="dxa"/>
          </w:tcPr>
          <w:p w:rsidR="00F30CCF" w:rsidRPr="00246C34" w:rsidRDefault="00F30CCF" w:rsidP="00246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F02FA8" w:rsidRDefault="00F02FA8"/>
    <w:sectPr w:rsidR="00F02FA8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83" w:rsidRDefault="00BE6F83" w:rsidP="00810C15">
      <w:pPr>
        <w:spacing w:after="0" w:line="240" w:lineRule="auto"/>
      </w:pPr>
      <w:r>
        <w:separator/>
      </w:r>
    </w:p>
  </w:endnote>
  <w:endnote w:type="continuationSeparator" w:id="1">
    <w:p w:rsidR="00BE6F83" w:rsidRDefault="00BE6F83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id w:val="526347"/>
      <w:docPartObj>
        <w:docPartGallery w:val="Page Numbers (Bottom of Page)"/>
        <w:docPartUnique/>
      </w:docPartObj>
    </w:sdtPr>
    <w:sdtContent>
      <w:p w:rsidR="00F02FA8" w:rsidRPr="00810C15" w:rsidRDefault="00F02FA8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  <w:r w:rsidR="003B7AEB" w:rsidRPr="003B7AEB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3B7AEB" w:rsidRPr="003B7AEB">
          <w:rPr>
            <w:rFonts w:cs="Times New Roman"/>
            <w:b/>
          </w:rPr>
          <w:fldChar w:fldCharType="separate"/>
        </w:r>
        <w:r w:rsidR="00043DD9" w:rsidRPr="00043DD9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3</w:t>
        </w:r>
        <w:r w:rsidR="003B7AEB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</w:p>
    </w:sdtContent>
  </w:sdt>
  <w:p w:rsidR="00F02FA8" w:rsidRDefault="00F02F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61" w:rsidRDefault="00FD6A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83" w:rsidRDefault="00BE6F83" w:rsidP="00810C15">
      <w:pPr>
        <w:spacing w:after="0" w:line="240" w:lineRule="auto"/>
      </w:pPr>
      <w:r>
        <w:separator/>
      </w:r>
    </w:p>
  </w:footnote>
  <w:footnote w:type="continuationSeparator" w:id="1">
    <w:p w:rsidR="00BE6F83" w:rsidRDefault="00BE6F83" w:rsidP="00810C15">
      <w:pPr>
        <w:spacing w:after="0" w:line="240" w:lineRule="auto"/>
      </w:pPr>
      <w:r>
        <w:continuationSeparator/>
      </w:r>
    </w:p>
  </w:footnote>
  <w:footnote w:id="2">
    <w:p w:rsidR="00F02FA8" w:rsidRDefault="00F02FA8" w:rsidP="00790AB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>Основано на идеях российских профориентологов Е.А. Климова, Н.С. Пряжникова, Н. Ф. Родичева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26"/>
    <w:multiLevelType w:val="hybridMultilevel"/>
    <w:tmpl w:val="C1C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43DD9"/>
    <w:rsid w:val="00055AA3"/>
    <w:rsid w:val="000B1EF6"/>
    <w:rsid w:val="001070B8"/>
    <w:rsid w:val="0015285B"/>
    <w:rsid w:val="00246C34"/>
    <w:rsid w:val="002949BA"/>
    <w:rsid w:val="003B7AEB"/>
    <w:rsid w:val="0055391E"/>
    <w:rsid w:val="00566047"/>
    <w:rsid w:val="006C4ACB"/>
    <w:rsid w:val="006F4DE8"/>
    <w:rsid w:val="00751ED9"/>
    <w:rsid w:val="00790AB0"/>
    <w:rsid w:val="007A5A19"/>
    <w:rsid w:val="00810C15"/>
    <w:rsid w:val="00841A4E"/>
    <w:rsid w:val="00856E42"/>
    <w:rsid w:val="00860A9E"/>
    <w:rsid w:val="00877FBA"/>
    <w:rsid w:val="00931919"/>
    <w:rsid w:val="00B72B78"/>
    <w:rsid w:val="00B95A1B"/>
    <w:rsid w:val="00BE6F83"/>
    <w:rsid w:val="00C94952"/>
    <w:rsid w:val="00D741C6"/>
    <w:rsid w:val="00D97EE3"/>
    <w:rsid w:val="00F02FA8"/>
    <w:rsid w:val="00F0437C"/>
    <w:rsid w:val="00F30CCF"/>
    <w:rsid w:val="00F91682"/>
    <w:rsid w:val="00FD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rsid w:val="00F02F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02F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vbinfo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89D0-414E-41F0-B4DD-EB3D0317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</cp:lastModifiedBy>
  <cp:revision>14</cp:revision>
  <dcterms:created xsi:type="dcterms:W3CDTF">2023-08-14T08:56:00Z</dcterms:created>
  <dcterms:modified xsi:type="dcterms:W3CDTF">2023-08-23T10:30:00Z</dcterms:modified>
</cp:coreProperties>
</file>